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34" w:rsidRDefault="00EC16E6">
      <w:pPr>
        <w:tabs>
          <w:tab w:val="left" w:pos="5032"/>
        </w:tabs>
        <w:ind w:left="100"/>
        <w:rPr>
          <w:sz w:val="20"/>
        </w:rPr>
      </w:pPr>
      <w:r>
        <w:rPr>
          <w:position w:val="72"/>
          <w:sz w:val="20"/>
        </w:rPr>
        <w:tab/>
      </w:r>
    </w:p>
    <w:p w:rsidR="00DF3205" w:rsidRDefault="00DF3205">
      <w:pPr>
        <w:spacing w:before="125"/>
        <w:ind w:left="4761" w:right="3787" w:hanging="1"/>
        <w:jc w:val="center"/>
        <w:rPr>
          <w:b/>
          <w:sz w:val="20"/>
        </w:rPr>
      </w:pPr>
      <w:r w:rsidRPr="00DF3205">
        <w:rPr>
          <w:rFonts w:ascii="Arial" w:eastAsia="Calibri" w:hAnsi="Arial"/>
          <w:b/>
          <w:bCs/>
          <w:noProof/>
          <w:sz w:val="24"/>
          <w:lang w:val="pt-BR" w:eastAsia="pt-BR"/>
        </w:rPr>
        <w:drawing>
          <wp:anchor distT="0" distB="0" distL="114300" distR="114300" simplePos="0" relativeHeight="251657216" behindDoc="0" locked="0" layoutInCell="1" allowOverlap="1" wp14:anchorId="4159EB9F" wp14:editId="31B1167E">
            <wp:simplePos x="0" y="0"/>
            <wp:positionH relativeFrom="column">
              <wp:posOffset>2339340</wp:posOffset>
            </wp:positionH>
            <wp:positionV relativeFrom="paragraph">
              <wp:posOffset>166370</wp:posOffset>
            </wp:positionV>
            <wp:extent cx="2699385" cy="605790"/>
            <wp:effectExtent l="0" t="0" r="5715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MM Horizontal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205" w:rsidRDefault="00DF3205">
      <w:pPr>
        <w:spacing w:before="125"/>
        <w:ind w:left="4761" w:right="3787" w:hanging="1"/>
        <w:jc w:val="center"/>
        <w:rPr>
          <w:b/>
          <w:sz w:val="20"/>
        </w:rPr>
      </w:pPr>
    </w:p>
    <w:p w:rsidR="00DF3205" w:rsidRDefault="00DF3205">
      <w:pPr>
        <w:spacing w:before="125"/>
        <w:ind w:left="4761" w:right="3787" w:hanging="1"/>
        <w:jc w:val="center"/>
        <w:rPr>
          <w:b/>
          <w:sz w:val="20"/>
        </w:rPr>
      </w:pPr>
    </w:p>
    <w:p w:rsidR="00DF3205" w:rsidRDefault="00DF3205">
      <w:pPr>
        <w:spacing w:before="125"/>
        <w:ind w:left="4761" w:right="3787" w:hanging="1"/>
        <w:jc w:val="center"/>
        <w:rPr>
          <w:b/>
          <w:sz w:val="20"/>
        </w:rPr>
      </w:pPr>
    </w:p>
    <w:p w:rsidR="00C54E34" w:rsidRDefault="00EC16E6">
      <w:pPr>
        <w:spacing w:before="125"/>
        <w:ind w:left="4761" w:right="3787" w:hanging="1"/>
        <w:jc w:val="center"/>
        <w:rPr>
          <w:b/>
          <w:sz w:val="20"/>
        </w:rPr>
      </w:pPr>
      <w:r>
        <w:rPr>
          <w:b/>
          <w:sz w:val="20"/>
        </w:rPr>
        <w:t xml:space="preserve">ESTADO </w:t>
      </w:r>
      <w:proofErr w:type="gramStart"/>
      <w:r>
        <w:rPr>
          <w:b/>
          <w:sz w:val="20"/>
        </w:rPr>
        <w:t>DO PARÁ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PODER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LEGISLATIVO</w:t>
      </w:r>
    </w:p>
    <w:p w:rsidR="00DF3205" w:rsidRDefault="00EC16E6">
      <w:pPr>
        <w:ind w:left="3823" w:right="2849"/>
        <w:jc w:val="center"/>
        <w:rPr>
          <w:b/>
          <w:spacing w:val="-2"/>
          <w:sz w:val="20"/>
        </w:rPr>
      </w:pPr>
      <w:r>
        <w:rPr>
          <w:b/>
          <w:spacing w:val="-2"/>
          <w:sz w:val="20"/>
        </w:rPr>
        <w:t xml:space="preserve">CÂMARA MUNICIPAL DE </w:t>
      </w:r>
      <w:r w:rsidR="00DF3205">
        <w:rPr>
          <w:b/>
          <w:spacing w:val="-2"/>
          <w:sz w:val="20"/>
        </w:rPr>
        <w:t>MARABÁ</w:t>
      </w:r>
    </w:p>
    <w:p w:rsidR="00C54E34" w:rsidRDefault="00DF3205">
      <w:pPr>
        <w:ind w:left="3823" w:right="2849"/>
        <w:jc w:val="center"/>
        <w:rPr>
          <w:b/>
          <w:sz w:val="20"/>
        </w:rPr>
      </w:pPr>
      <w:r>
        <w:rPr>
          <w:b/>
          <w:sz w:val="20"/>
        </w:rPr>
        <w:t>DEPARTAMENTO LEGISLATIVO</w:t>
      </w:r>
    </w:p>
    <w:p w:rsidR="00C54E34" w:rsidRDefault="00EE0BEA">
      <w:pPr>
        <w:pStyle w:val="Corpodetexto"/>
        <w:spacing w:before="6"/>
        <w:rPr>
          <w:b/>
          <w:sz w:val="25"/>
        </w:rPr>
      </w:pPr>
      <w:r>
        <w:pict>
          <v:shape id="_x0000_s1027" style="position:absolute;margin-left:64.5pt;margin-top:17.05pt;width:471.7pt;height:.1pt;z-index:-251658240;mso-wrap-distance-left:0;mso-wrap-distance-right:0;mso-position-horizontal-relative:page" coordorigin="1290,341" coordsize="9434,0" path="m1290,341r9434,e" filled="f">
            <v:path arrowok="t"/>
            <w10:wrap type="topAndBottom" anchorx="page"/>
          </v:shape>
        </w:pict>
      </w:r>
    </w:p>
    <w:p w:rsidR="00C54E34" w:rsidRDefault="00C54E34">
      <w:pPr>
        <w:pStyle w:val="Corpodetexto"/>
        <w:rPr>
          <w:b/>
          <w:sz w:val="22"/>
        </w:rPr>
      </w:pPr>
    </w:p>
    <w:p w:rsidR="00C54E34" w:rsidRDefault="00C54E34">
      <w:pPr>
        <w:pStyle w:val="Corpodetexto"/>
        <w:rPr>
          <w:b/>
          <w:sz w:val="22"/>
        </w:rPr>
      </w:pPr>
    </w:p>
    <w:p w:rsidR="00C54E34" w:rsidRDefault="00DF3205">
      <w:pPr>
        <w:pStyle w:val="Ttulo1"/>
      </w:pPr>
      <w:r>
        <w:t>TERMO DAS DISPOSIÇOES GERAIS DO PRO</w:t>
      </w:r>
      <w:r w:rsidR="00EC16E6">
        <w:t>CESSO LEGISLATIVO</w:t>
      </w:r>
    </w:p>
    <w:p w:rsidR="00C54E34" w:rsidRDefault="00C54E34">
      <w:pPr>
        <w:pStyle w:val="Corpodetexto"/>
        <w:rPr>
          <w:b/>
          <w:sz w:val="26"/>
        </w:rPr>
      </w:pPr>
    </w:p>
    <w:p w:rsidR="00C54E34" w:rsidRDefault="00C54E34">
      <w:pPr>
        <w:pStyle w:val="Corpodetexto"/>
        <w:rPr>
          <w:b/>
          <w:sz w:val="26"/>
        </w:rPr>
      </w:pPr>
    </w:p>
    <w:p w:rsidR="00C54E34" w:rsidRDefault="00C54E34">
      <w:pPr>
        <w:pStyle w:val="Corpodetexto"/>
        <w:spacing w:before="4"/>
        <w:rPr>
          <w:b/>
        </w:rPr>
      </w:pPr>
    </w:p>
    <w:p w:rsidR="00C54E34" w:rsidRDefault="00C54E34">
      <w:pPr>
        <w:pStyle w:val="Corpodetexto"/>
        <w:ind w:left="1078"/>
        <w:jc w:val="both"/>
      </w:pPr>
    </w:p>
    <w:p w:rsidR="00C54E34" w:rsidRDefault="00EC16E6">
      <w:pPr>
        <w:spacing w:before="138"/>
        <w:ind w:left="1078"/>
        <w:jc w:val="both"/>
        <w:rPr>
          <w:sz w:val="24"/>
        </w:rPr>
      </w:pPr>
      <w:r>
        <w:rPr>
          <w:b/>
          <w:sz w:val="24"/>
        </w:rPr>
        <w:t>Proposição:</w:t>
      </w:r>
      <w:r>
        <w:rPr>
          <w:b/>
          <w:spacing w:val="-1"/>
          <w:sz w:val="24"/>
        </w:rPr>
        <w:t xml:space="preserve"> </w:t>
      </w:r>
      <w:r w:rsidR="00EE0BEA" w:rsidRPr="00EE0BEA">
        <w:rPr>
          <w:spacing w:val="-1"/>
          <w:sz w:val="24"/>
        </w:rPr>
        <w:t xml:space="preserve">PROJETO DE LEI Nº 28, PROCESSO Nº </w:t>
      </w:r>
      <w:proofErr w:type="gramStart"/>
      <w:r w:rsidR="00EE0BEA" w:rsidRPr="00EE0BEA">
        <w:rPr>
          <w:spacing w:val="-1"/>
          <w:sz w:val="24"/>
        </w:rPr>
        <w:t>68</w:t>
      </w:r>
      <w:proofErr w:type="gramEnd"/>
    </w:p>
    <w:p w:rsidR="00C54E34" w:rsidRDefault="00DF3205">
      <w:pPr>
        <w:spacing w:before="138"/>
        <w:ind w:left="1078"/>
        <w:jc w:val="both"/>
        <w:rPr>
          <w:sz w:val="24"/>
        </w:rPr>
      </w:pPr>
      <w:r>
        <w:rPr>
          <w:b/>
          <w:sz w:val="24"/>
        </w:rPr>
        <w:t>Autoria:</w:t>
      </w:r>
      <w:r w:rsidR="00EE0BEA">
        <w:rPr>
          <w:b/>
          <w:sz w:val="24"/>
        </w:rPr>
        <w:t xml:space="preserve"> </w:t>
      </w:r>
      <w:r w:rsidR="00EE0BEA" w:rsidRPr="00EE0BEA">
        <w:rPr>
          <w:sz w:val="24"/>
        </w:rPr>
        <w:t>EXECUTIVO MUNICIPAL</w:t>
      </w:r>
    </w:p>
    <w:p w:rsidR="00C54E34" w:rsidRDefault="00EC16E6">
      <w:pPr>
        <w:pStyle w:val="Corpodetexto"/>
        <w:spacing w:before="138" w:line="360" w:lineRule="auto"/>
        <w:ind w:left="1078" w:right="112"/>
        <w:jc w:val="both"/>
      </w:pPr>
      <w:r>
        <w:rPr>
          <w:b/>
        </w:rPr>
        <w:t xml:space="preserve">Ementa: </w:t>
      </w:r>
      <w:r w:rsidR="00EE0BEA" w:rsidRPr="00EE0BEA">
        <w:t>Acrescenta o § 5º ao art. 4º e altera o Anexo I da Lei Municipal nº 17.361, de 23 de julho de 2009, que cria a Guarda Municipal de Marabá, e acrescenta o § 7º ao art. 9º da Lei Municipal nº 17.431, de 27 de outubro de 2010, que instituiu o Estatuto da Guarda Municipal de Marabá, e dá outras providências.</w:t>
      </w:r>
    </w:p>
    <w:p w:rsidR="00C54E34" w:rsidRDefault="00EC16E6">
      <w:pPr>
        <w:ind w:left="1078"/>
        <w:jc w:val="both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apresentação:</w:t>
      </w:r>
      <w:r>
        <w:rPr>
          <w:b/>
          <w:spacing w:val="-1"/>
          <w:sz w:val="24"/>
        </w:rPr>
        <w:t xml:space="preserve"> </w:t>
      </w:r>
      <w:r w:rsidR="00EE0BEA">
        <w:rPr>
          <w:b/>
          <w:spacing w:val="-1"/>
          <w:sz w:val="24"/>
        </w:rPr>
        <w:t>25/03/2022</w:t>
      </w:r>
    </w:p>
    <w:p w:rsidR="00C54E34" w:rsidRDefault="00EC16E6">
      <w:pPr>
        <w:spacing w:before="138"/>
        <w:ind w:left="1078"/>
        <w:jc w:val="both"/>
        <w:rPr>
          <w:sz w:val="24"/>
        </w:rPr>
      </w:pPr>
      <w:r>
        <w:rPr>
          <w:b/>
          <w:sz w:val="24"/>
        </w:rPr>
        <w:t>Forma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apreciação: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Proposição</w:t>
      </w:r>
      <w:r>
        <w:rPr>
          <w:spacing w:val="-2"/>
          <w:sz w:val="24"/>
        </w:rPr>
        <w:t xml:space="preserve"> </w:t>
      </w:r>
      <w:r>
        <w:rPr>
          <w:sz w:val="24"/>
        </w:rPr>
        <w:t>sujeita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Plenário.</w:t>
      </w:r>
    </w:p>
    <w:p w:rsidR="00C54E34" w:rsidRDefault="00EC16E6">
      <w:pPr>
        <w:spacing w:before="138"/>
        <w:ind w:left="1078"/>
        <w:jc w:val="both"/>
        <w:rPr>
          <w:sz w:val="24"/>
        </w:rPr>
      </w:pPr>
      <w:r>
        <w:rPr>
          <w:b/>
          <w:sz w:val="24"/>
        </w:rPr>
        <w:t>Regime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tramitação: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Ordinária.</w:t>
      </w:r>
    </w:p>
    <w:p w:rsidR="00C54E34" w:rsidRDefault="00EC16E6">
      <w:pPr>
        <w:spacing w:before="138"/>
        <w:ind w:left="1078"/>
        <w:jc w:val="both"/>
        <w:rPr>
          <w:sz w:val="24"/>
        </w:rPr>
      </w:pPr>
      <w:r>
        <w:rPr>
          <w:b/>
          <w:sz w:val="24"/>
        </w:rPr>
        <w:t>Quorum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votação: </w:t>
      </w:r>
      <w:r w:rsidR="00EE0BEA">
        <w:rPr>
          <w:b/>
          <w:sz w:val="24"/>
        </w:rPr>
        <w:t>Maioria Absoluta</w:t>
      </w:r>
    </w:p>
    <w:p w:rsidR="00C54E34" w:rsidRDefault="00EC16E6">
      <w:pPr>
        <w:spacing w:before="138" w:line="360" w:lineRule="auto"/>
        <w:ind w:left="1078" w:right="198"/>
        <w:jc w:val="both"/>
        <w:rPr>
          <w:sz w:val="24"/>
        </w:rPr>
      </w:pPr>
      <w:r>
        <w:rPr>
          <w:b/>
          <w:sz w:val="24"/>
        </w:rPr>
        <w:t>Comissões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competentes:</w:t>
      </w:r>
      <w:r>
        <w:rPr>
          <w:b/>
          <w:spacing w:val="-3"/>
          <w:sz w:val="24"/>
        </w:rPr>
        <w:t xml:space="preserve"> </w:t>
      </w:r>
      <w:r w:rsidR="00EE0BEA" w:rsidRPr="00EE0BEA">
        <w:rPr>
          <w:spacing w:val="-3"/>
          <w:sz w:val="24"/>
        </w:rPr>
        <w:t>comissão de Justiça, Legislação e Redação, Comissão Administração, Saúde, Serviços e Segurança Pública e Seguridade Social, Comissão</w:t>
      </w:r>
      <w:proofErr w:type="gramStart"/>
      <w:r w:rsidR="00EE0BEA" w:rsidRPr="00EE0BEA">
        <w:rPr>
          <w:spacing w:val="-3"/>
          <w:sz w:val="24"/>
        </w:rPr>
        <w:t xml:space="preserve">  </w:t>
      </w:r>
      <w:proofErr w:type="gramEnd"/>
      <w:r w:rsidR="00EE0BEA" w:rsidRPr="00EE0BEA">
        <w:rPr>
          <w:spacing w:val="-3"/>
          <w:sz w:val="24"/>
        </w:rPr>
        <w:t>de Finanças e Orçamento.</w:t>
      </w:r>
    </w:p>
    <w:p w:rsidR="00C54E34" w:rsidRDefault="00EC16E6">
      <w:pPr>
        <w:ind w:left="1078"/>
        <w:jc w:val="both"/>
        <w:rPr>
          <w:sz w:val="24"/>
        </w:rPr>
      </w:pPr>
      <w:r>
        <w:rPr>
          <w:b/>
          <w:sz w:val="24"/>
        </w:rPr>
        <w:t>Servidor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(a)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responsável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acompanhamento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tramitação: </w:t>
      </w:r>
      <w:r w:rsidR="00EE0BEA">
        <w:rPr>
          <w:b/>
          <w:sz w:val="24"/>
        </w:rPr>
        <w:t>André das V. Pereira</w:t>
      </w:r>
    </w:p>
    <w:p w:rsidR="00C54E34" w:rsidRDefault="00C54E34">
      <w:pPr>
        <w:pStyle w:val="Corpodetexto"/>
        <w:rPr>
          <w:sz w:val="26"/>
        </w:rPr>
      </w:pPr>
    </w:p>
    <w:p w:rsidR="00C54E34" w:rsidRDefault="00C54E34">
      <w:pPr>
        <w:pStyle w:val="Corpodetexto"/>
        <w:rPr>
          <w:sz w:val="22"/>
        </w:rPr>
      </w:pPr>
    </w:p>
    <w:p w:rsidR="00C54E34" w:rsidRDefault="00DF3205">
      <w:pPr>
        <w:pStyle w:val="Corpodetexto"/>
        <w:ind w:left="6530"/>
      </w:pPr>
      <w:r>
        <w:t>Marabá</w:t>
      </w:r>
      <w:r w:rsidR="00EC16E6">
        <w:t>/</w:t>
      </w:r>
      <w:proofErr w:type="gramStart"/>
      <w:r w:rsidR="00EC16E6">
        <w:t>Pa</w:t>
      </w:r>
      <w:proofErr w:type="gramEnd"/>
      <w:r w:rsidR="00EC16E6">
        <w:t>,</w:t>
      </w:r>
      <w:r w:rsidR="00EE0BEA">
        <w:rPr>
          <w:spacing w:val="-2"/>
        </w:rPr>
        <w:t xml:space="preserve"> 25</w:t>
      </w:r>
      <w:r w:rsidR="00EC16E6">
        <w:rPr>
          <w:spacing w:val="-2"/>
        </w:rPr>
        <w:t xml:space="preserve"> </w:t>
      </w:r>
      <w:r w:rsidR="00EC16E6">
        <w:t xml:space="preserve">de </w:t>
      </w:r>
      <w:r w:rsidR="00EE0BEA">
        <w:t xml:space="preserve">Abril </w:t>
      </w:r>
      <w:r w:rsidR="00EC16E6">
        <w:t>de</w:t>
      </w:r>
      <w:r w:rsidR="00EC16E6">
        <w:rPr>
          <w:spacing w:val="-2"/>
        </w:rPr>
        <w:t xml:space="preserve"> </w:t>
      </w:r>
      <w:r>
        <w:t>2022</w:t>
      </w:r>
      <w:r w:rsidR="00EC16E6">
        <w:t>.</w:t>
      </w:r>
    </w:p>
    <w:p w:rsidR="00C54E34" w:rsidRDefault="00C54E34">
      <w:pPr>
        <w:pStyle w:val="Corpodetexto"/>
        <w:rPr>
          <w:sz w:val="26"/>
        </w:rPr>
      </w:pPr>
    </w:p>
    <w:p w:rsidR="00C54E34" w:rsidRDefault="00C54E34">
      <w:pPr>
        <w:pStyle w:val="Corpodetexto"/>
        <w:rPr>
          <w:sz w:val="26"/>
        </w:rPr>
      </w:pPr>
    </w:p>
    <w:p w:rsidR="00C54E34" w:rsidRDefault="00C54E34">
      <w:pPr>
        <w:pStyle w:val="Corpodetexto"/>
        <w:spacing w:before="2"/>
        <w:rPr>
          <w:sz w:val="27"/>
        </w:rPr>
      </w:pPr>
    </w:p>
    <w:p w:rsidR="00C54E34" w:rsidRDefault="00DF3205">
      <w:pPr>
        <w:pStyle w:val="Ttulo1"/>
        <w:ind w:left="3823"/>
      </w:pPr>
      <w:r>
        <w:t xml:space="preserve">André das </w:t>
      </w:r>
      <w:proofErr w:type="gramStart"/>
      <w:r>
        <w:t>Virgens Pereira</w:t>
      </w:r>
      <w:bookmarkStart w:id="0" w:name="_GoBack"/>
      <w:bookmarkEnd w:id="0"/>
      <w:proofErr w:type="gramEnd"/>
    </w:p>
    <w:p w:rsidR="00C54E34" w:rsidRDefault="00DF3205">
      <w:pPr>
        <w:pStyle w:val="Corpodetexto"/>
        <w:ind w:left="4836" w:right="3862" w:hanging="1"/>
        <w:jc w:val="center"/>
      </w:pPr>
      <w:r>
        <w:t>Técnico Legislativo</w:t>
      </w:r>
      <w:r w:rsidR="00EC16E6">
        <w:rPr>
          <w:spacing w:val="1"/>
        </w:rPr>
        <w:t xml:space="preserve"> </w:t>
      </w:r>
    </w:p>
    <w:p w:rsidR="00C54E34" w:rsidRDefault="00C54E34">
      <w:pPr>
        <w:pStyle w:val="Corpodetexto"/>
        <w:rPr>
          <w:sz w:val="20"/>
        </w:rPr>
      </w:pPr>
    </w:p>
    <w:p w:rsidR="00C54E34" w:rsidRDefault="00C54E34">
      <w:pPr>
        <w:pStyle w:val="Corpodetexto"/>
        <w:rPr>
          <w:sz w:val="20"/>
        </w:rPr>
      </w:pPr>
    </w:p>
    <w:p w:rsidR="00C54E34" w:rsidRDefault="00C54E34">
      <w:pPr>
        <w:pStyle w:val="Corpodetexto"/>
        <w:rPr>
          <w:sz w:val="20"/>
        </w:rPr>
      </w:pPr>
    </w:p>
    <w:p w:rsidR="00C54E34" w:rsidRDefault="00C54E34">
      <w:pPr>
        <w:ind w:left="3809" w:right="2853"/>
        <w:jc w:val="center"/>
        <w:rPr>
          <w:i/>
          <w:sz w:val="16"/>
        </w:rPr>
      </w:pPr>
    </w:p>
    <w:sectPr w:rsidR="00C54E34">
      <w:footerReference w:type="default" r:id="rId8"/>
      <w:type w:val="continuous"/>
      <w:pgSz w:w="11900" w:h="16840"/>
      <w:pgMar w:top="260" w:right="102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05" w:rsidRDefault="00DF3205" w:rsidP="00DF3205">
      <w:r>
        <w:separator/>
      </w:r>
    </w:p>
  </w:endnote>
  <w:endnote w:type="continuationSeparator" w:id="0">
    <w:p w:rsidR="00DF3205" w:rsidRDefault="00DF3205" w:rsidP="00DF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205" w:rsidRPr="00DF3205" w:rsidRDefault="00DF3205" w:rsidP="00DF3205">
    <w:pPr>
      <w:widowControl/>
      <w:suppressAutoHyphens/>
      <w:autoSpaceDE/>
      <w:autoSpaceDN/>
      <w:jc w:val="center"/>
      <w:rPr>
        <w:rFonts w:eastAsia="Calibri" w:cs="Calibri"/>
        <w:sz w:val="16"/>
        <w:szCs w:val="16"/>
        <w:lang w:val="pt-BR" w:eastAsia="zh-CN"/>
      </w:rPr>
    </w:pPr>
  </w:p>
  <w:p w:rsidR="00DF3205" w:rsidRPr="00DF3205" w:rsidRDefault="00DF3205" w:rsidP="00DF3205">
    <w:pPr>
      <w:widowControl/>
      <w:suppressAutoHyphens/>
      <w:autoSpaceDE/>
      <w:autoSpaceDN/>
      <w:jc w:val="center"/>
      <w:rPr>
        <w:rFonts w:eastAsia="Calibri" w:cs="Calibri"/>
        <w:sz w:val="16"/>
        <w:szCs w:val="16"/>
        <w:lang w:val="pt-BR" w:eastAsia="zh-CN"/>
      </w:rPr>
    </w:pPr>
    <w:r w:rsidRPr="00DF3205">
      <w:rPr>
        <w:rFonts w:eastAsia="Calibri" w:cs="Calibri"/>
        <w:sz w:val="16"/>
        <w:szCs w:val="16"/>
        <w:lang w:val="pt-BR" w:eastAsia="zh-CN"/>
      </w:rPr>
      <w:t xml:space="preserve">Rodovia Transamazônica, Av. </w:t>
    </w:r>
    <w:proofErr w:type="spellStart"/>
    <w:r w:rsidRPr="00DF3205">
      <w:rPr>
        <w:rFonts w:eastAsia="Calibri" w:cs="Calibri"/>
        <w:sz w:val="16"/>
        <w:szCs w:val="16"/>
        <w:lang w:val="pt-BR" w:eastAsia="zh-CN"/>
      </w:rPr>
      <w:t>Hiléia</w:t>
    </w:r>
    <w:proofErr w:type="spellEnd"/>
    <w:r w:rsidRPr="00DF3205">
      <w:rPr>
        <w:rFonts w:eastAsia="Calibri" w:cs="Calibri"/>
        <w:sz w:val="16"/>
        <w:szCs w:val="16"/>
        <w:lang w:val="pt-BR" w:eastAsia="zh-CN"/>
      </w:rPr>
      <w:t xml:space="preserve"> – </w:t>
    </w:r>
    <w:proofErr w:type="spellStart"/>
    <w:r w:rsidRPr="00DF3205">
      <w:rPr>
        <w:rFonts w:eastAsia="Calibri" w:cs="Calibri"/>
        <w:sz w:val="16"/>
        <w:szCs w:val="16"/>
        <w:lang w:val="pt-BR" w:eastAsia="zh-CN"/>
      </w:rPr>
      <w:t>Agropólis</w:t>
    </w:r>
    <w:proofErr w:type="spellEnd"/>
    <w:r w:rsidRPr="00DF3205">
      <w:rPr>
        <w:rFonts w:eastAsia="Calibri" w:cs="Calibri"/>
        <w:sz w:val="16"/>
        <w:szCs w:val="16"/>
        <w:lang w:val="pt-BR" w:eastAsia="zh-CN"/>
      </w:rPr>
      <w:t xml:space="preserve"> do </w:t>
    </w:r>
    <w:proofErr w:type="gramStart"/>
    <w:r w:rsidRPr="00DF3205">
      <w:rPr>
        <w:rFonts w:eastAsia="Calibri" w:cs="Calibri"/>
        <w:sz w:val="16"/>
        <w:szCs w:val="16"/>
        <w:lang w:val="pt-BR" w:eastAsia="zh-CN"/>
      </w:rPr>
      <w:t>INCRA</w:t>
    </w:r>
    <w:proofErr w:type="gramEnd"/>
  </w:p>
  <w:p w:rsidR="00DF3205" w:rsidRPr="00DF3205" w:rsidRDefault="00DF3205" w:rsidP="00DF3205">
    <w:pPr>
      <w:widowControl/>
      <w:suppressAutoHyphens/>
      <w:autoSpaceDE/>
      <w:autoSpaceDN/>
      <w:jc w:val="center"/>
      <w:rPr>
        <w:rFonts w:eastAsia="Calibri" w:cs="Calibri"/>
        <w:sz w:val="16"/>
        <w:szCs w:val="16"/>
        <w:lang w:val="pt-BR" w:eastAsia="zh-CN"/>
      </w:rPr>
    </w:pPr>
    <w:r w:rsidRPr="00DF3205">
      <w:rPr>
        <w:rFonts w:eastAsia="Calibri" w:cs="Calibri"/>
        <w:sz w:val="16"/>
        <w:szCs w:val="16"/>
        <w:lang w:val="pt-BR" w:eastAsia="zh-CN"/>
      </w:rPr>
      <w:t xml:space="preserve">Marabá – Pará – </w:t>
    </w:r>
    <w:proofErr w:type="spellStart"/>
    <w:proofErr w:type="gramStart"/>
    <w:r w:rsidRPr="00DF3205">
      <w:rPr>
        <w:rFonts w:eastAsia="Calibri" w:cs="Calibri"/>
        <w:sz w:val="16"/>
        <w:szCs w:val="16"/>
        <w:lang w:val="pt-BR" w:eastAsia="zh-CN"/>
      </w:rPr>
      <w:t>Cep</w:t>
    </w:r>
    <w:proofErr w:type="spellEnd"/>
    <w:proofErr w:type="gramEnd"/>
    <w:r w:rsidRPr="00DF3205">
      <w:rPr>
        <w:rFonts w:eastAsia="Calibri" w:cs="Calibri"/>
        <w:sz w:val="16"/>
        <w:szCs w:val="16"/>
        <w:lang w:val="pt-BR" w:eastAsia="zh-CN"/>
      </w:rPr>
      <w:t>: 68501-000</w:t>
    </w:r>
  </w:p>
  <w:p w:rsidR="00DF3205" w:rsidRPr="00DF3205" w:rsidRDefault="00DF3205" w:rsidP="00DF3205">
    <w:pPr>
      <w:widowControl/>
      <w:suppressAutoHyphens/>
      <w:autoSpaceDE/>
      <w:autoSpaceDN/>
      <w:jc w:val="center"/>
      <w:rPr>
        <w:rFonts w:eastAsia="Calibri" w:cs="Calibri"/>
        <w:sz w:val="16"/>
        <w:szCs w:val="16"/>
        <w:lang w:val="pt-BR" w:eastAsia="zh-CN"/>
      </w:rPr>
    </w:pPr>
    <w:proofErr w:type="spellStart"/>
    <w:r w:rsidRPr="00DF3205">
      <w:rPr>
        <w:rFonts w:eastAsia="Calibri" w:cs="Calibri"/>
        <w:sz w:val="16"/>
        <w:szCs w:val="16"/>
        <w:lang w:val="pt-BR" w:eastAsia="zh-CN"/>
      </w:rPr>
      <w:t>Email</w:t>
    </w:r>
    <w:proofErr w:type="spellEnd"/>
    <w:r w:rsidRPr="00DF3205">
      <w:rPr>
        <w:rFonts w:eastAsia="Calibri" w:cs="Calibri"/>
        <w:sz w:val="16"/>
        <w:szCs w:val="16"/>
        <w:lang w:val="pt-BR" w:eastAsia="zh-CN"/>
      </w:rPr>
      <w:t xml:space="preserve">: </w:t>
    </w:r>
    <w:hyperlink r:id="rId1" w:history="1">
      <w:r w:rsidRPr="00DF3205">
        <w:rPr>
          <w:rFonts w:eastAsia="Calibri" w:cs="Calibri"/>
          <w:color w:val="0000FF"/>
          <w:sz w:val="16"/>
          <w:szCs w:val="16"/>
          <w:u w:val="single"/>
          <w:lang w:val="pt-BR" w:eastAsia="zh-CN"/>
        </w:rPr>
        <w:t>legislativo@maraba.pa.leg.br</w:t>
      </w:r>
    </w:hyperlink>
  </w:p>
  <w:p w:rsidR="00DF3205" w:rsidRPr="00DF3205" w:rsidRDefault="00DF3205" w:rsidP="00DF3205">
    <w:pPr>
      <w:widowControl/>
      <w:suppressAutoHyphens/>
      <w:autoSpaceDE/>
      <w:autoSpaceDN/>
      <w:jc w:val="center"/>
      <w:rPr>
        <w:rFonts w:eastAsia="Calibri" w:cs="Calibri"/>
        <w:sz w:val="16"/>
        <w:szCs w:val="16"/>
        <w:lang w:val="pt-BR" w:eastAsia="zh-CN"/>
      </w:rPr>
    </w:pPr>
    <w:r w:rsidRPr="00DF3205">
      <w:rPr>
        <w:rFonts w:eastAsia="Calibri" w:cs="Calibri"/>
        <w:sz w:val="16"/>
        <w:szCs w:val="16"/>
        <w:lang w:val="pt-BR" w:eastAsia="zh-CN"/>
      </w:rPr>
      <w:t>Departamento Legislativo</w:t>
    </w:r>
  </w:p>
  <w:p w:rsidR="00DF3205" w:rsidRDefault="00DF32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05" w:rsidRDefault="00DF3205" w:rsidP="00DF3205">
      <w:r>
        <w:separator/>
      </w:r>
    </w:p>
  </w:footnote>
  <w:footnote w:type="continuationSeparator" w:id="0">
    <w:p w:rsidR="00DF3205" w:rsidRDefault="00DF3205" w:rsidP="00DF3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54E34"/>
    <w:rsid w:val="00C54E34"/>
    <w:rsid w:val="00DF3205"/>
    <w:rsid w:val="00EC16E6"/>
    <w:rsid w:val="00E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822" w:right="285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F32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205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F32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320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32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3205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822" w:right="285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F32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205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F32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320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32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320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lativo@maraba.pa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legislativo-pc2</dc:creator>
  <cp:lastModifiedBy>legislativo-pc2</cp:lastModifiedBy>
  <cp:revision>2</cp:revision>
  <dcterms:created xsi:type="dcterms:W3CDTF">2022-04-25T15:00:00Z</dcterms:created>
  <dcterms:modified xsi:type="dcterms:W3CDTF">2022-04-25T15:00:00Z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2021-12-20T00:00:00Z</vt:filetime>
  </property>
</Properties>
</file>